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Ю.Б., 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1074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Дубровина Виктора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</w:t>
      </w:r>
      <w:r>
        <w:rPr>
          <w:rFonts w:ascii="Times New Roman" w:eastAsia="Times New Roman" w:hAnsi="Times New Roman" w:cs="Times New Roman"/>
        </w:rPr>
        <w:t xml:space="preserve"> Маркса д.45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Дубровина В.П.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 2023 года до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</w:t>
      </w:r>
      <w:r>
        <w:rPr>
          <w:rFonts w:ascii="Times New Roman" w:eastAsia="Times New Roman" w:hAnsi="Times New Roman" w:cs="Times New Roman"/>
        </w:rPr>
        <w:t>АЯ СЕРВИСНАЯ КОМПАНИЯ «ИНВЕСТ».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</w:t>
      </w:r>
      <w:r>
        <w:rPr>
          <w:rFonts w:ascii="Times New Roman" w:eastAsia="Times New Roman" w:hAnsi="Times New Roman" w:cs="Times New Roman"/>
        </w:rPr>
        <w:t>Дубровину В.П.</w:t>
      </w:r>
      <w:r>
        <w:rPr>
          <w:rFonts w:ascii="Times New Roman" w:eastAsia="Times New Roman" w:hAnsi="Times New Roman" w:cs="Times New Roman"/>
        </w:rPr>
        <w:t xml:space="preserve"> наказания в виде предупреждения, так как обязанность по предоставлению расчета по страховым взносам за 9 месяцев 2023 года не исполнена.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Дубровина Виктора Павловича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0412365400725010742415164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